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4"/>
        <w:gridCol w:w="4521"/>
      </w:tblGrid>
      <w:tr w:rsidR="00250FC2" w:rsidRPr="00DB0D37" w:rsidTr="008C1A50">
        <w:trPr>
          <w:tblCellSpacing w:w="7" w:type="dxa"/>
        </w:trPr>
        <w:tc>
          <w:tcPr>
            <w:tcW w:w="0" w:type="auto"/>
            <w:vAlign w:val="center"/>
            <w:hideMark/>
          </w:tcPr>
          <w:p w:rsidR="00250FC2" w:rsidRPr="00250FC2" w:rsidRDefault="00250FC2" w:rsidP="008C1A50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500" w:type="dxa"/>
            <w:vAlign w:val="bottom"/>
            <w:hideMark/>
          </w:tcPr>
          <w:p w:rsidR="00250FC2" w:rsidRPr="00DB0D37" w:rsidRDefault="00250FC2" w:rsidP="00250FC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</w:pPr>
            <w:proofErr w:type="spellStart"/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Հավելված</w:t>
            </w:r>
            <w:proofErr w:type="spellEnd"/>
          </w:p>
          <w:p w:rsidR="00250FC2" w:rsidRPr="00DB0D37" w:rsidRDefault="00250FC2" w:rsidP="00250FC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</w:pP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>Ջերմուկ համայնքի</w:t>
            </w: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 xml:space="preserve"> </w:t>
            </w:r>
            <w:proofErr w:type="spellStart"/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ավագանու</w:t>
            </w:r>
            <w:proofErr w:type="spellEnd"/>
          </w:p>
          <w:p w:rsidR="00250FC2" w:rsidRPr="00DB0D37" w:rsidRDefault="00250FC2" w:rsidP="00250FC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</w:pP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202</w:t>
            </w: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>3</w:t>
            </w: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 xml:space="preserve"> </w:t>
            </w:r>
            <w:proofErr w:type="spellStart"/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թվականի</w:t>
            </w:r>
            <w:proofErr w:type="spellEnd"/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 xml:space="preserve"> </w:t>
            </w:r>
            <w:r w:rsidR="00DB0D37"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>մայիսի 30</w:t>
            </w: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-ի</w:t>
            </w:r>
          </w:p>
          <w:p w:rsidR="00250FC2" w:rsidRPr="00DB0D37" w:rsidRDefault="00250FC2" w:rsidP="00250FC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</w:rPr>
            </w:pP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 xml:space="preserve">N </w:t>
            </w:r>
            <w:r w:rsidR="00DB0D37"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>47</w:t>
            </w: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 xml:space="preserve">-Ն </w:t>
            </w:r>
            <w:proofErr w:type="spellStart"/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որոշման</w:t>
            </w:r>
            <w:proofErr w:type="spellEnd"/>
          </w:p>
        </w:tc>
      </w:tr>
    </w:tbl>
    <w:p w:rsidR="00250FC2" w:rsidRPr="00250FC2" w:rsidRDefault="00250FC2" w:rsidP="00250FC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50FC2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250FC2" w:rsidRPr="00250FC2" w:rsidRDefault="00250FC2" w:rsidP="00250F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  <w:r w:rsidRPr="00250FC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Կ Ա Ր Գ</w:t>
      </w:r>
    </w:p>
    <w:p w:rsidR="00250FC2" w:rsidRPr="00250FC2" w:rsidRDefault="00250FC2" w:rsidP="00250FC2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50FC2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250FC2" w:rsidRPr="00250FC2" w:rsidRDefault="00250FC2" w:rsidP="00250F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ՋԵՐՄՈՒԿ ՀԱՄԱՅՆՔԻ </w:t>
      </w:r>
      <w:r w:rsidRPr="00250FC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ԱՎԱԳԱՆՈՒ ԿՈՂՄԻՑ ԱՆՇԱՐԺ ԳՈՒՅՔԻ ՀԱՐԿԻ ԵՎ ՓՈԽԱԴՐԱՄԻՋՈՑԻ ԳՈՒՅՔԱՀԱՐԿԻ </w:t>
      </w:r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ԳԾՈՎ </w:t>
      </w:r>
      <w:r w:rsidRPr="00250FC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ԱՐՏՈՆՈՒԹՅՈՒՆՆԵՐ ՍԱՀՄԱՆԵԼՈՒ</w:t>
      </w:r>
    </w:p>
    <w:p w:rsidR="00250FC2" w:rsidRPr="00250FC2" w:rsidRDefault="00250FC2" w:rsidP="00250FC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50FC2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250FC2" w:rsidRPr="00622287" w:rsidRDefault="00250FC2" w:rsidP="0062228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1.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Սույն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կարգով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կարգավորվում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են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Հայաստանի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Հանրապետության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հարկային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օրենսգրքի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230-րդ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հոդվածի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3-րդ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մասին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և </w:t>
      </w:r>
      <w:bookmarkStart w:id="0" w:name="_GoBack"/>
      <w:bookmarkEnd w:id="0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245-րդ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հոդվածի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2-րդ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մասին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համապատասխան</w:t>
      </w:r>
      <w:proofErr w:type="spellEnd"/>
      <w:proofErr w:type="gram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՝ </w:t>
      </w:r>
      <w:r w:rsidR="00622287" w:rsidRP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633522" w:rsidRP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Ջերմուկ</w:t>
      </w:r>
      <w:proofErr w:type="gramEnd"/>
      <w:r w:rsidR="00633522" w:rsidRP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համայնքի </w:t>
      </w:r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ավագանու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կողմից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անշարժ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գույքի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հարկի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և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փոխադրամիջոցի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գույքահարկի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r w:rsidR="00633522" w:rsidRP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գծով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արտոնությունների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սահմանման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հետ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կապված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հարաբերությունները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:</w:t>
      </w:r>
    </w:p>
    <w:p w:rsidR="00250FC2" w:rsidRPr="00622287" w:rsidRDefault="00250FC2" w:rsidP="0062228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2. </w:t>
      </w:r>
      <w:r w:rsidR="00622287" w:rsidRP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Ջերմուկ համայնքի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ավագանին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անշարժ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գույքի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հարկի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և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փոխադրամիջոցի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գույքահարկի</w:t>
      </w:r>
      <w:proofErr w:type="spellEnd"/>
      <w:r w:rsid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գծով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արտոնություն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է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սահմանում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առանձին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հարկ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վճարողների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համար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r w:rsidR="00EF3542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</w:t>
      </w:r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վարչակ</w:t>
      </w:r>
      <w:r w:rsidR="009C1B3E">
        <w:rPr>
          <w:rFonts w:ascii="GHEA Grapalat" w:eastAsia="Times New Roman" w:hAnsi="GHEA Grapalat" w:cs="Times New Roman"/>
          <w:color w:val="000000"/>
          <w:sz w:val="24"/>
          <w:szCs w:val="21"/>
        </w:rPr>
        <w:t>ան</w:t>
      </w:r>
      <w:proofErr w:type="spellEnd"/>
      <w:r w:rsidR="009C1B3E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="009C1B3E">
        <w:rPr>
          <w:rFonts w:ascii="GHEA Grapalat" w:eastAsia="Times New Roman" w:hAnsi="GHEA Grapalat" w:cs="Times New Roman"/>
          <w:color w:val="000000"/>
          <w:sz w:val="24"/>
          <w:szCs w:val="21"/>
        </w:rPr>
        <w:t>տարածքում</w:t>
      </w:r>
      <w:proofErr w:type="spellEnd"/>
      <w:r w:rsidR="009C1B3E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="009C1B3E">
        <w:rPr>
          <w:rFonts w:ascii="GHEA Grapalat" w:eastAsia="Times New Roman" w:hAnsi="GHEA Grapalat" w:cs="Times New Roman"/>
          <w:color w:val="000000"/>
          <w:sz w:val="24"/>
          <w:szCs w:val="21"/>
        </w:rPr>
        <w:t>գտնվող</w:t>
      </w:r>
      <w:proofErr w:type="spellEnd"/>
      <w:r w:rsidR="009C1B3E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(</w:t>
      </w:r>
      <w:proofErr w:type="spellStart"/>
      <w:r w:rsidR="009C1B3E">
        <w:rPr>
          <w:rFonts w:ascii="GHEA Grapalat" w:eastAsia="Times New Roman" w:hAnsi="GHEA Grapalat" w:cs="Times New Roman"/>
          <w:color w:val="000000"/>
          <w:sz w:val="24"/>
          <w:szCs w:val="21"/>
        </w:rPr>
        <w:t>հաշվառված</w:t>
      </w:r>
      <w:proofErr w:type="spellEnd"/>
      <w:r w:rsidR="009C1B3E">
        <w:rPr>
          <w:rFonts w:ascii="GHEA Grapalat" w:eastAsia="Times New Roman" w:hAnsi="GHEA Grapalat" w:cs="Times New Roman"/>
          <w:color w:val="000000"/>
          <w:sz w:val="24"/>
          <w:szCs w:val="21"/>
        </w:rPr>
        <w:t>)</w:t>
      </w:r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անշարժ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գույքի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հարկով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և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փոխադրամիջոցի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գույքահարկով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հարկման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օբյեկտ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հանդիսացող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գույքի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մասով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՝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արտոնության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վերապահման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տարվա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համայնքի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բյուջեի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հաստատումից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հետո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,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ընդ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որում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,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սահմանած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արտոնության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գումարը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չի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կարող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գերազանցել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տվյալ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հարկային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տարվա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համար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անշարժ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գույքի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հարկի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և (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կամ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)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փոխադրամիջոցի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գույքահարկի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գծով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համայնքի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բյուջեի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հաստատված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եկամուտների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տասը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</w:t>
      </w:r>
      <w:proofErr w:type="spellStart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տոկոսը</w:t>
      </w:r>
      <w:proofErr w:type="spellEnd"/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:</w:t>
      </w:r>
      <w:r w:rsidR="00622287" w:rsidRP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</w:p>
    <w:p w:rsidR="00250FC2" w:rsidRPr="008802FD" w:rsidRDefault="00250FC2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3. Անշարժ գույքի հարկի և (կամ) փոխադրամիջոցի գույքահարկի գծով արտոնություն կարող է սահմանվել հետևյ</w:t>
      </w:r>
      <w:r w:rsidR="008802FD" w:rsidRP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ալ քաղաքացիների խմբերի նկատմամբ</w:t>
      </w:r>
      <w:r w:rsid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՝</w:t>
      </w:r>
    </w:p>
    <w:p w:rsidR="00250FC2" w:rsidRPr="00193394" w:rsidRDefault="008802FD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 Արցախ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ի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և Հայաստանի Հանրապետության պաշտպանության մարտական գործողությունների կամ հակառակորդի հետ շփման գծում մարտական հերթապահության կամ հատուկ առաջադրանքներ կատարելու կամ հակառակորդի նախահարձակ գործողությունների հետևանքով զոհված, վիրավորված և ստացած վնասվածքներից հաջորդող տարիների ընթացքում մահացածների ընտանիքների անդամներ,</w:t>
      </w:r>
    </w:p>
    <w:p w:rsidR="00250FC2" w:rsidRPr="008802FD" w:rsidRDefault="00250FC2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2) </w:t>
      </w:r>
      <w:r w:rsidR="008802FD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Արցախ</w:t>
      </w:r>
      <w:r w:rsid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յան</w:t>
      </w:r>
      <w:r w:rsidR="008802FD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և Հայաստանի Հանրապետության</w:t>
      </w:r>
      <w:r w:rsid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տարածքում տեղի ունեցած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պատերազմների 1-ին և 2-րդ խմբի զինհաշմանդամներ, որ</w:t>
      </w:r>
      <w:r w:rsidR="00693BE1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ոնք անշարժ գույքի հարկով կամ 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գույքահարկով հարկման օբյեկտ համարվող բնակելի </w:t>
      </w:r>
      <w:r w:rsidR="00693BE1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նշանակության շինությունը կամ 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փոխադրամիջոցը ձեռք են բերել մինչև սույն </w:t>
      </w:r>
      <w:r w:rsidR="00434621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որոշումն ուժի մեջ մտնելը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,</w:t>
      </w:r>
      <w:r w:rsid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</w:p>
    <w:p w:rsidR="00AA1014" w:rsidRPr="00C97275" w:rsidRDefault="00250FC2" w:rsidP="00C9727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3) Հայաստանի Հանրապետության պաշտպանության մարտական գործողությունների կամ հակառակորդի հետ շփման գծում մարտական հերթապահության կամ հատուկ առաջադրանքներ կատարելու կամ հակառակորդի նախահարձակ գործողությունների հետևանքով գերեվարված, անհայտ բացակայող </w:t>
      </w:r>
      <w:r w:rsidR="00434621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ճանաչված </w:t>
      </w:r>
      <w:r w:rsidR="00193394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անձինք 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կամ մահացած ճանաչված</w:t>
      </w:r>
      <w:r w:rsidR="00D1270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անձի ընտանիքի անդամ</w:t>
      </w:r>
      <w:r w:rsidR="00C97275" w:rsidRPr="00C9727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:</w:t>
      </w:r>
    </w:p>
    <w:p w:rsidR="00C97275" w:rsidRPr="00C97275" w:rsidRDefault="00250FC2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4. </w:t>
      </w:r>
      <w:r w:rsidR="00FA649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Անշարժ գույքի հարկի կամ</w:t>
      </w:r>
      <w:r w:rsidR="00C97275" w:rsidRP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կարող է </w:t>
      </w:r>
      <w:r w:rsidR="00C97275" w:rsidRPr="00C14828">
        <w:rPr>
          <w:rFonts w:ascii="GHEA Grapalat" w:eastAsia="Times New Roman" w:hAnsi="GHEA Grapalat" w:cs="Times New Roman"/>
          <w:sz w:val="24"/>
          <w:szCs w:val="21"/>
          <w:lang w:val="hy-AM"/>
        </w:rPr>
        <w:t>սահմանվել նաև</w:t>
      </w:r>
      <w:r w:rsidR="00BE2E89" w:rsidRPr="00C14828">
        <w:rPr>
          <w:rFonts w:ascii="GHEA Grapalat" w:eastAsia="Times New Roman" w:hAnsi="GHEA Grapalat" w:cs="Times New Roman"/>
          <w:sz w:val="24"/>
          <w:szCs w:val="21"/>
          <w:lang w:val="hy-AM"/>
        </w:rPr>
        <w:t xml:space="preserve"> </w:t>
      </w:r>
      <w:r w:rsidR="00043F7D" w:rsidRPr="00C14828">
        <w:rPr>
          <w:rFonts w:ascii="GHEA Grapalat" w:eastAsia="Times New Roman" w:hAnsi="GHEA Grapalat" w:cs="Times New Roman"/>
          <w:sz w:val="24"/>
          <w:szCs w:val="21"/>
          <w:lang w:val="hy-AM"/>
        </w:rPr>
        <w:t xml:space="preserve">սույն կարգի </w:t>
      </w:r>
      <w:r w:rsidR="00C14828">
        <w:rPr>
          <w:rFonts w:ascii="GHEA Grapalat" w:eastAsia="Times New Roman" w:hAnsi="GHEA Grapalat" w:cs="Times New Roman"/>
          <w:sz w:val="24"/>
          <w:szCs w:val="21"/>
          <w:lang w:val="hy-AM"/>
        </w:rPr>
        <w:t>3-րդ կետում չընդգրկված</w:t>
      </w:r>
      <w:r w:rsidR="00043F7D" w:rsidRPr="00C14828">
        <w:rPr>
          <w:rFonts w:ascii="GHEA Grapalat" w:eastAsia="Times New Roman" w:hAnsi="GHEA Grapalat" w:cs="Times New Roman"/>
          <w:sz w:val="24"/>
          <w:szCs w:val="21"/>
          <w:lang w:val="hy-AM"/>
        </w:rPr>
        <w:t xml:space="preserve"> </w:t>
      </w:r>
      <w:r w:rsidR="00BE2E8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առանձին </w:t>
      </w:r>
      <w:r w:rsidR="00606A5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հարկատուների</w:t>
      </w:r>
      <w:r w:rsidR="00BE2E8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նկատմամբ՝ </w:t>
      </w:r>
      <w:r w:rsidR="00F10B6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արտոնության կիրառումը </w:t>
      </w:r>
      <w:r w:rsidR="00BE2E8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հիմնավորող փաստաթղթերի առկայությամբ։</w:t>
      </w:r>
    </w:p>
    <w:p w:rsidR="00250FC2" w:rsidRPr="00193394" w:rsidRDefault="00BE2E89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5</w:t>
      </w:r>
      <w:r>
        <w:rPr>
          <w:rFonts w:ascii="Cambria Math" w:eastAsia="Times New Roman" w:hAnsi="Cambria Math" w:cs="Times New Roman"/>
          <w:color w:val="000000"/>
          <w:sz w:val="24"/>
          <w:szCs w:val="21"/>
          <w:lang w:val="hy-AM"/>
        </w:rPr>
        <w:t xml:space="preserve">․ </w:t>
      </w:r>
      <w:r w:rsidR="00FA649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Անշարժ գույքի հարկով կամ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գույքահարկով հարկվող բնակելի նշանակությա</w:t>
      </w:r>
      <w:r w:rsidR="00FA649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ն մեկից ավելի շինությունների կամ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մեկից ավել փոխադրամիջոցների առկայության դեպքում, արտոնությունը կիր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առվում է այդ շինություններից 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կամ 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lastRenderedPageBreak/>
        <w:t xml:space="preserve">փոխադրամիջոցներից մեկի նկատմամբ` 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ըստ անշարժ գույքի հարկի կամ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արտոնություն ստացող անձի ցանկության:</w:t>
      </w:r>
    </w:p>
    <w:p w:rsidR="00250FC2" w:rsidRPr="00D2112D" w:rsidRDefault="003B45BC" w:rsidP="00D2112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6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Սույն </w:t>
      </w:r>
      <w:r w:rsid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կարգով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ս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ահմանված անշարժ գույքի հարկի կամ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</w:t>
      </w:r>
      <w:r w:rsid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գծով 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արտոնություններից գրավոր հրաժարվելու դեպքում արտոնությունը համարվում է չսահմանված՝ տվյալ դիմողի մասով:</w:t>
      </w:r>
    </w:p>
    <w:p w:rsidR="00250FC2" w:rsidRPr="00D2112D" w:rsidRDefault="003B45BC" w:rsidP="00D2112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7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Սույն</w:t>
      </w:r>
      <w:r w:rsidR="00D1270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կարգի իմաստով ընտանիքի անդամ են հանդիսանում ամուսինը, ծնողը և զավակ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ը (որդեգրողները և որ</w:t>
      </w:r>
      <w:r w:rsidR="00D1270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դեգրվածները), ինչպես նաև քույրը և եղբայր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ը, եթե վերջիններս սույն կարգի 3-րդ կետի 1-ին կամ 3-րդ ենթակետերում նշված հանգամանքների ի հայտ գալու (հաստատման) օրվա դրությամբ փաստացի բնակվել են նույն հասցեում և ամուսնացած չեն եղել:</w:t>
      </w:r>
    </w:p>
    <w:p w:rsidR="00250FC2" w:rsidRPr="00D2112D" w:rsidRDefault="003B45BC" w:rsidP="00D2112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8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Հարկ վճարողներին անշարժ գույքի հարկի և (կամ) փոխադրամիջոցի գույքահարկի արտոնություն կարող է սահմանվել </w:t>
      </w:r>
      <w:r w:rsidR="005972C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Ջերմուկ համայնքի ղեկավարի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ներկայացմամբ:</w:t>
      </w:r>
    </w:p>
    <w:p w:rsidR="006160E9" w:rsidRDefault="003B45BC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9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6160E9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 վճարողներին անշարժ գույքի հարկի և (կամ) փոխադրամիջոցի գույքահարկի արտոնություն կարող է սահմանվել</w:t>
      </w:r>
      <w:r w:rsidR="006160E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՝</w:t>
      </w:r>
    </w:p>
    <w:p w:rsidR="006160E9" w:rsidRDefault="006160E9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Pr="006160E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) 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ղեկավարի կամ ավագանու անդամի նախաձեռնությամբ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,</w:t>
      </w:r>
    </w:p>
    <w:p w:rsidR="006160E9" w:rsidRPr="006160E9" w:rsidRDefault="006160E9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</w:t>
      </w:r>
      <w:r w:rsidRP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 վճարողի հայցմամբ՝ համայնքի ղեկավարի եզրակացությամբ։</w:t>
      </w:r>
    </w:p>
    <w:p w:rsidR="00250FC2" w:rsidRPr="005765D6" w:rsidRDefault="003B45BC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10</w:t>
      </w:r>
      <w:r w:rsidR="003B19A4">
        <w:rPr>
          <w:rFonts w:ascii="Cambria Math" w:eastAsia="Times New Roman" w:hAnsi="Cambria Math" w:cs="Times New Roman"/>
          <w:color w:val="000000"/>
          <w:sz w:val="24"/>
          <w:szCs w:val="21"/>
          <w:lang w:val="hy-AM"/>
        </w:rPr>
        <w:t xml:space="preserve">․ 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Այն դեպքում, երբ արտոնությունը սահմանվում է 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ղեկավարի</w:t>
      </w:r>
      <w:r w:rsidR="00E2555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կամ ավագանու անդամի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նախաձեռնությամբ, </w:t>
      </w:r>
      <w:r w:rsidR="00502B12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նախաձեռնողի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կողմից օրենսդրությամբ սահմանված կարգով 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համայնքի 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ավագանու քննարկմանն է ներկ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այացվում անշարժ գույքի հարկի կամ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սահմանելու վերաբերյալ առաջարկությունը` նշելով հարկային օրենսդրությամբ նախատեսված հարկային արտոնության տեսակը և հայցվող արտոնության գումարի մեծությունը` հարկային արտոնություն տալու անհրաժեշտության հիմնավորմամբ:</w:t>
      </w:r>
    </w:p>
    <w:p w:rsidR="00250FC2" w:rsidRPr="001F2D68" w:rsidRDefault="003B45BC" w:rsidP="001F2D68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11</w:t>
      </w:r>
      <w:r w:rsidR="00250FC2" w:rsidRP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Այն դեպքում, երբ արտոնությունը հայցվում է հարկ վճարողի կողմից, հարկ վճարողը </w:t>
      </w:r>
      <w:r w:rsid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ղեկավարին</w:t>
      </w:r>
      <w:r w:rsidR="00250FC2" w:rsidRP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է ներկ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այացնում անշարժ գույքի հարկի կամ</w:t>
      </w:r>
      <w:r w:rsidR="00250FC2" w:rsidRP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ստանալու վերաբերյալ դիմում` նշելով հարկային օրենսդրությամբ նախատեսված հարկային արտոնության տեսակը և հայցվող արտոնության գումարը, տեղեկություններ` առաջացած հարկային պարտավորությունները ժամանակին կատարելու անհնարինության, տույժերի ու տուգանքների առաջացման պատճառների մասին՝ հարկային արտոնություն ստանալու անհրաժեշտության հիմնավորմամբ: Դիմումին կից ներկայացվում են սույն կարգի 3-րդ կետի 1-ին, 2-րդ կամ 3-րդ ենթակետերով սահմանված խմբերի ներկայացուցիչ լինելու փաստը հավաստող փաստաթղթերի պատճենն</w:t>
      </w:r>
      <w:r w:rsid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երը, սույն կարգի </w:t>
      </w:r>
      <w:r w:rsidR="00D02409" w:rsidRPr="00D02409">
        <w:rPr>
          <w:rFonts w:ascii="GHEA Grapalat" w:eastAsia="Times New Roman" w:hAnsi="GHEA Grapalat" w:cs="Times New Roman"/>
          <w:color w:val="FF0000"/>
          <w:sz w:val="24"/>
          <w:szCs w:val="21"/>
          <w:lang w:val="hy-AM"/>
        </w:rPr>
        <w:t>7</w:t>
      </w:r>
      <w:r w:rsidR="00131FE6" w:rsidRPr="00D02409">
        <w:rPr>
          <w:rFonts w:ascii="GHEA Grapalat" w:eastAsia="Times New Roman" w:hAnsi="GHEA Grapalat" w:cs="Times New Roman"/>
          <w:color w:val="FF0000"/>
          <w:sz w:val="24"/>
          <w:szCs w:val="21"/>
          <w:lang w:val="hy-AM"/>
        </w:rPr>
        <w:t>-րդ կետով և 1</w:t>
      </w:r>
      <w:r w:rsidR="00D02409" w:rsidRPr="00D02409">
        <w:rPr>
          <w:rFonts w:ascii="GHEA Grapalat" w:eastAsia="Times New Roman" w:hAnsi="GHEA Grapalat" w:cs="Times New Roman"/>
          <w:color w:val="FF0000"/>
          <w:sz w:val="24"/>
          <w:szCs w:val="21"/>
          <w:lang w:val="hy-AM"/>
        </w:rPr>
        <w:t>5</w:t>
      </w:r>
      <w:r w:rsidR="00250FC2" w:rsidRPr="00D02409">
        <w:rPr>
          <w:rFonts w:ascii="GHEA Grapalat" w:eastAsia="Times New Roman" w:hAnsi="GHEA Grapalat" w:cs="Times New Roman"/>
          <w:color w:val="FF0000"/>
          <w:sz w:val="24"/>
          <w:szCs w:val="21"/>
          <w:lang w:val="hy-AM"/>
        </w:rPr>
        <w:t xml:space="preserve">-րդ </w:t>
      </w:r>
      <w:r w:rsidR="00250FC2" w:rsidRP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կետի 1-ին ենթակետով նախատեսված և արտոնության կիրառման համար անհրաժեշտ փաստաթղթերի պատճենները:</w:t>
      </w:r>
    </w:p>
    <w:p w:rsidR="00250FC2" w:rsidRPr="000E10A5" w:rsidRDefault="003B45BC" w:rsidP="000E10A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12</w:t>
      </w:r>
      <w:r w:rsidR="00D0434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Անշարժ գույքի հարկի և</w:t>
      </w:r>
      <w:r w:rsidR="00250FC2" w:rsidRPr="000E10A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չի կարող սահմանվել, եթե արտոնություն հայցող անձը (բացի արտոնության կիրառման համար հիմք հանդիսացող ժամկետանց պարտավորությունների) </w:t>
      </w:r>
      <w:r w:rsid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Ջերմուկ</w:t>
      </w:r>
      <w:r w:rsidR="00250FC2" w:rsidRPr="000E10A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համայնքի հանդեպ ունի չկատարված այ</w:t>
      </w:r>
      <w:r w:rsidR="00500F4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լ ժամկետանց պարտավորություններ։</w:t>
      </w:r>
    </w:p>
    <w:p w:rsidR="00250FC2" w:rsidRPr="00212E50" w:rsidRDefault="003B45BC" w:rsidP="00212E50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13</w:t>
      </w:r>
      <w:r w:rsidR="00250FC2" w:rsidRP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ղեկավարը</w:t>
      </w:r>
      <w:r w:rsidR="00250FC2" w:rsidRP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հարկ</w:t>
      </w:r>
      <w:r w:rsid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D641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վճարողի դիմումը և սույն կարգի 11</w:t>
      </w:r>
      <w:r w:rsidR="00250FC2" w:rsidRP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-րդ կետում նշված անհրաժեշտ փաստաթղթերը ստանալուց հետո մեկամսյա ժամկետում՝</w:t>
      </w:r>
    </w:p>
    <w:p w:rsidR="00250FC2" w:rsidRPr="00131FE6" w:rsidRDefault="00250FC2" w:rsidP="00212E50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1) </w:t>
      </w:r>
      <w:r w:rsidR="00494057" w:rsidRPr="0049405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կարգով նախատեսված պայմանները բավարարելու</w:t>
      </w:r>
      <w:r w:rsidR="0049405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դեպքում՝ հարկ վճարողին հարկային արտոնություն տրամադրելու վերաբերյալ հարցը՝ հարկ վճարողի ներկայացրած </w:t>
      </w: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lastRenderedPageBreak/>
        <w:t>փաստաթղթերի հետ մեկտեղ օրենսդրությամբ սահմանված կարգով ներկայացնում է համայնքի ավագանու քննարկմանը.</w:t>
      </w:r>
    </w:p>
    <w:p w:rsidR="00250FC2" w:rsidRPr="00131FE6" w:rsidRDefault="00250FC2" w:rsidP="00212E50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2) </w:t>
      </w:r>
      <w:r w:rsidR="003928C8" w:rsidRPr="0049405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կարգով նախատեսված պայմանները </w:t>
      </w:r>
      <w:r w:rsidR="003928C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չ</w:t>
      </w:r>
      <w:r w:rsidR="003928C8" w:rsidRPr="0049405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բավարարելու</w:t>
      </w:r>
      <w:r w:rsidR="003928C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դեպքում</w:t>
      </w:r>
      <w:r w:rsidR="003928C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՝</w:t>
      </w: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հայցողի ներկայացրած փաստաթղթերը վերադարձնում է հարկ վճարողին` գրավոր նշելով չհամաձայնելու պատճառները, փաստական և իրավական հիմքերը:</w:t>
      </w:r>
    </w:p>
    <w:p w:rsidR="00250FC2" w:rsidRPr="00131FE6" w:rsidRDefault="003F09C6" w:rsidP="00AF191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4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034DFB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ավագանին հարցը քննարկելուց հետո ընդունում է որոշում հարկ վճարո</w:t>
      </w:r>
      <w:r w:rsidR="00A65FC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ղի համար անշարժ գույքի հարկի կամ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սահմանելու և հարկ վճարողի փոխարեն համայնքի բյուջեից վճարում կատարելու մասին կամ մերժում է արտոնության տրամադրումը:</w:t>
      </w:r>
    </w:p>
    <w:p w:rsidR="00250FC2" w:rsidRPr="00131FE6" w:rsidRDefault="003F09C6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5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ավագանու որոշման մեջ</w:t>
      </w:r>
      <w:r w:rsidR="001F7D7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, «Վարչարարության հիմունքների և վարչական վարույթի մասին» օրենքի 55-րդ հոդվածի 4-րդ մասի դրույթներից</w:t>
      </w:r>
      <w:r w:rsidR="001F7D75" w:rsidRPr="001F7D7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1F7D7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բացի, 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նշվում են</w:t>
      </w:r>
      <w:r w:rsidR="001F7D7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նաև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`</w:t>
      </w:r>
    </w:p>
    <w:p w:rsidR="00250FC2" w:rsidRPr="00AA1014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 հարկ վճարողի գրանցման և գույքի գտնվելու հասցեները, հարկ վճարողի անվանումն ու հարկ վճարողի հաշվառման համարը (ՀՎՀՀ), ֆիզիկական անձի հանրային ծառայության համարանիշը (ՀԾՀ).</w:t>
      </w:r>
    </w:p>
    <w:p w:rsidR="00250FC2" w:rsidRPr="00AA1014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2) հարկային օրենսդրությամբ սահմանված` տրամադրվող արտոնության տեսակը.</w:t>
      </w:r>
    </w:p>
    <w:p w:rsidR="00250FC2" w:rsidRPr="00AA1014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3) արտոնության գումարի մեծությունը, իսկ հարկի ժամկետային արտոնության տրամադրման դեպքում` հետաձգման ժամկետները</w:t>
      </w:r>
      <w:r w:rsidRPr="00AA101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250FC2" w:rsidRPr="00AA1014" w:rsidRDefault="003F09C6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6</w:t>
      </w:r>
      <w:r w:rsidR="00250FC2"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Հայաստանի Հանրապետության հարկային օրենսգրքի 230-րդ հոդվածի 3-րդ մասով և 245-րդ հոդվածի 2-րդ մասով նախատեսված չափի հաշվարկման նպատակով`</w:t>
      </w:r>
    </w:p>
    <w:p w:rsidR="00250FC2" w:rsidRPr="009C1B3E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 հարկվող օբյեկտի, հարկի դրույքաչափի կամ հարկի նվազեցման գծով արտոնություն սահմանելիս, արտոնության գումարը հաշվարկվում է` հիմք ընդունելով հաշվառման տվյալների հիման վրա հաշվարկված հարկի գումարները, իսկ եթե դա անհնարին է, ապա հիմք ընդունելով հարկ վճարողի նախորդ հաշվետու ժամանակաշրջանի հաշվառման տվյալների հիման վրա հաշվարկված հարկի գումարների մեծությունը.</w:t>
      </w:r>
    </w:p>
    <w:p w:rsidR="00250FC2" w:rsidRPr="009C1B3E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2) հարկի հաշվարկման կամ վճարման ժամկետի, ինչ</w:t>
      </w:r>
      <w:r w:rsidR="00C26F7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պես նաև հարկային օրենսդրությամբ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և հարկային հարաբերությունները կարգավորող </w:t>
      </w:r>
      <w:r w:rsidR="00C26F7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այլ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իրավական ակտեր</w:t>
      </w:r>
      <w:r w:rsidR="00C26F7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ով նախատեսված պահանջները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խախտելու համար հաշվարկված հարկային օրենսդրությամբ սահմանված տույժերի ու տուգանքների վճարման ժամկետի գծով արտոնություն սահմանելիս, տվյալ բյուջետային տարում արտոնության գումարը հաշվարկվում է հետաձգվող հարկային պարտավորության գումարի նկատմամբ տվյալ բյուջետային տարվա ընթացքում արտոնության մնացած ժամանակահատվածի համար հարկային օրենսդրությամբ սահմանված կարգով հարկի գումարի նկատմամբ հաշվարկվող տույժերի գումարի չափով:</w:t>
      </w:r>
    </w:p>
    <w:p w:rsidR="00250FC2" w:rsidRPr="009C1B3E" w:rsidRDefault="00250FC2" w:rsidP="00805CEB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7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805CEB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Համայնքի 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ավագանու կողմից սույն կարգով չնախատեսված կարգով արտոնությունների սահմանումն արգելվում է, այդ թվում` հարկ վճարողների հարկային պարտավորությունների կատարման համար համայնքի բյուջեից փոխհատուցում տրամադրելու միջոցով:</w:t>
      </w:r>
    </w:p>
    <w:p w:rsidR="00250FC2" w:rsidRDefault="00250FC2" w:rsidP="00805CEB">
      <w:pPr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4"/>
          <w:szCs w:val="21"/>
          <w:lang w:val="hy-AM"/>
        </w:rPr>
      </w:pPr>
      <w:r w:rsidRPr="009C1B3E">
        <w:rPr>
          <w:rFonts w:ascii="Courier New" w:eastAsia="Times New Roman" w:hAnsi="Courier New" w:cs="Courier New"/>
          <w:color w:val="000000"/>
          <w:sz w:val="24"/>
          <w:szCs w:val="21"/>
          <w:lang w:val="hy-AM"/>
        </w:rPr>
        <w:t> </w:t>
      </w:r>
    </w:p>
    <w:p w:rsidR="00B93DF7" w:rsidRPr="00B93DF7" w:rsidRDefault="00B93DF7" w:rsidP="00805CEB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</w:p>
    <w:sectPr w:rsidR="00B93DF7" w:rsidRPr="00B93DF7" w:rsidSect="00106F6B">
      <w:pgSz w:w="11907" w:h="16839" w:code="9"/>
      <w:pgMar w:top="851" w:right="562" w:bottom="156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7B"/>
    <w:rsid w:val="00034DFB"/>
    <w:rsid w:val="00043F7D"/>
    <w:rsid w:val="00050865"/>
    <w:rsid w:val="000E10A5"/>
    <w:rsid w:val="00106F6B"/>
    <w:rsid w:val="00131FE6"/>
    <w:rsid w:val="0016687B"/>
    <w:rsid w:val="00185AE1"/>
    <w:rsid w:val="00193394"/>
    <w:rsid w:val="001F2D68"/>
    <w:rsid w:val="001F7D75"/>
    <w:rsid w:val="00212E50"/>
    <w:rsid w:val="00250FC2"/>
    <w:rsid w:val="002D641F"/>
    <w:rsid w:val="002E1B8A"/>
    <w:rsid w:val="003928C8"/>
    <w:rsid w:val="003B19A4"/>
    <w:rsid w:val="003B45BC"/>
    <w:rsid w:val="003B4E25"/>
    <w:rsid w:val="003F09C6"/>
    <w:rsid w:val="00434621"/>
    <w:rsid w:val="00447F66"/>
    <w:rsid w:val="00494057"/>
    <w:rsid w:val="00500F4E"/>
    <w:rsid w:val="00502B12"/>
    <w:rsid w:val="00552015"/>
    <w:rsid w:val="005765D6"/>
    <w:rsid w:val="005972CD"/>
    <w:rsid w:val="00606A55"/>
    <w:rsid w:val="006160E9"/>
    <w:rsid w:val="00622287"/>
    <w:rsid w:val="00630377"/>
    <w:rsid w:val="00633522"/>
    <w:rsid w:val="00693BE1"/>
    <w:rsid w:val="00736211"/>
    <w:rsid w:val="00801938"/>
    <w:rsid w:val="00805CEB"/>
    <w:rsid w:val="008802FD"/>
    <w:rsid w:val="008F26D3"/>
    <w:rsid w:val="009C1B3E"/>
    <w:rsid w:val="00A046DB"/>
    <w:rsid w:val="00A42C9A"/>
    <w:rsid w:val="00A65FC7"/>
    <w:rsid w:val="00AA1014"/>
    <w:rsid w:val="00AA69D0"/>
    <w:rsid w:val="00AE0A47"/>
    <w:rsid w:val="00AF191C"/>
    <w:rsid w:val="00B14806"/>
    <w:rsid w:val="00B76C0C"/>
    <w:rsid w:val="00B93DF7"/>
    <w:rsid w:val="00BE2E89"/>
    <w:rsid w:val="00C06D7B"/>
    <w:rsid w:val="00C14828"/>
    <w:rsid w:val="00C26F76"/>
    <w:rsid w:val="00C97275"/>
    <w:rsid w:val="00D02409"/>
    <w:rsid w:val="00D0434C"/>
    <w:rsid w:val="00D12709"/>
    <w:rsid w:val="00D2112D"/>
    <w:rsid w:val="00DB0D37"/>
    <w:rsid w:val="00E2389C"/>
    <w:rsid w:val="00E25555"/>
    <w:rsid w:val="00EC1D7E"/>
    <w:rsid w:val="00ED0F04"/>
    <w:rsid w:val="00EF3542"/>
    <w:rsid w:val="00F10B6E"/>
    <w:rsid w:val="00FA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24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24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24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24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024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24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24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24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24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024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1657-C4D5-463C-9B57-1A99189A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Gohar Tadevosyan</cp:lastModifiedBy>
  <cp:revision>20</cp:revision>
  <cp:lastPrinted>2023-05-30T07:00:00Z</cp:lastPrinted>
  <dcterms:created xsi:type="dcterms:W3CDTF">2023-04-27T09:39:00Z</dcterms:created>
  <dcterms:modified xsi:type="dcterms:W3CDTF">2023-05-30T07:00:00Z</dcterms:modified>
</cp:coreProperties>
</file>